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09.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спортивной медицины; содержание, история и организация. Основы общей патологии. Учение о здоровье и болезни. Понятие о воспалении. Воспаление – универсальная реакция организма на повреждение. Местные и общие признаки воспаления. Понятие о гипертрофии как универсальном компенсаторно- приспособительном процессе. Рабочая и компенсаторная гипертрофия. Гипертрофические процессы в организме спортсмена. Понятие об атрофии, возможные причины атрофических процессов у спортсменов. Общее представление о дистрофических процессах. Иммунная реактивность у спортсменов и ее изменения в тренировочном макроцикле. Понятие о физическом развитии. Факторы, определяющие физическое развитие. Понятие о генотипе и фенотипе. Взаимосвязь двигательной активности с уровнем физического развития и здоровья человека. Влияние систематических занятий спортом и физической культурой на физическое развитие спортсмена. Понятие о телосложении и конституции человека; факторы, влияющие на телосложение человека. Понятие об акселерации: гармоническая и негармоническая акселерация. Методы исследования физического развития. Особенности физического развития и телосложения спортсменов, занимающихся различными видами спорта. Взаимосвязь двигательной активности с уровнем физического развития и здоровья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содержание и время проведения врачебных обследований спортсменов: оперативных, текущих, этапных, углубленных, диспансерных. Методы врачебных обследований. Инструментальные методы. Функциональные пробы для оценки функционально готовности, общей и специальной работоспособности спортсмена. Функциональное состояние нервной системы и нервно-мышечного аппарата спортсмена. Функциональное состояние сенсорных систем организма спортсмена. Особенности функционального состояния вегетативной нервной системы у спортсменов. Периферическая нервная система. Морфофункциональное состояние висцеральных систем организма спортсмена. Морфофункциональное состояние ССС спортсмена. Особенности функционального состояния аппарата внешнего дыхания у спортсменов. Функциональное состояние органов пищеварения у спортсменов. Функциональное состояние органов выделения у спортсмена. Влияние физической нагрузки на функциональное состояние эндокринной системы.Понятие о функциональной готовности и физической работоспособности человека. Понятие о тренированности. Составляющие комплексного понятия тренированности: врачебная, педагогическая, психологическая. Роль спортивной медицины в определении уровня тренированности. Задачи тестирования в спортивной медицине. Современные требования к медицинским тестам и условиям тестирования. Классификация тестов по характеру воздействия на организм спортсмена: пробы с физической нагрузкой, с изменением положения тела в пространстве, с натуживанием, гипоксемические и фармакологические пробы. Тестирование в естественных условиях. Простейшие пробы с использованием физической нагрузки. Методика их проведения и оценка результатов. Комбинированая, трехмоментная функциональная проба (проба Летунова). Недостатки и достоинства пробы с точки зрения современных требований. Методика проведения, общие принципы оценки результатов пробы. Тест Купера. Гарвардский степ-тест. Пробы с использованием максимальных и субмаксимальных физических нагрузок. Тест Новакки. Тест PWC170. Ортостатическая проба. Фармакологические пробы, их диагностическое значение, условия проведения, показания к применению.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физического развития спортсмена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Заполнить таблицу "Антропометрический профиль"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простую и сложную сенсомоторную реакцию. Все показатели занести в протокол, сравнить до и после нагрузки и дать оценку функциональному состоянию нервной системы. Протокол «Исследование нервной системы и нервно-мышечного аппарата у спортсменов»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Определить частоту сердечных сокращений и дать характеристику пульсу.</w:t>
            </w:r>
          </w:p>
          <w:p>
            <w:pPr>
              <w:jc w:val="both"/>
              <w:spacing w:after="0" w:line="240" w:lineRule="auto"/>
              <w:rPr>
                <w:sz w:val="24"/>
                <w:szCs w:val="24"/>
              </w:rPr>
            </w:pPr>
            <w:r>
              <w:rPr>
                <w:rFonts w:ascii="Times New Roman" w:hAnsi="Times New Roman" w:cs="Times New Roman"/>
                <w:color w:val="#000000"/>
                <w:sz w:val="24"/>
                <w:szCs w:val="24"/>
              </w:rPr>
              <w:t> 2. Рассчитать по формулам: среднее артериальное давление; пульсовое давление; систолический объем крови; минутный объем крови; общее периферическое сопротивление сосудов.</w:t>
            </w:r>
          </w:p>
          <w:p>
            <w:pPr>
              <w:jc w:val="both"/>
              <w:spacing w:after="0" w:line="240" w:lineRule="auto"/>
              <w:rPr>
                <w:sz w:val="24"/>
                <w:szCs w:val="24"/>
              </w:rPr>
            </w:pPr>
            <w:r>
              <w:rPr>
                <w:rFonts w:ascii="Times New Roman" w:hAnsi="Times New Roman" w:cs="Times New Roman"/>
                <w:color w:val="#000000"/>
                <w:sz w:val="24"/>
                <w:szCs w:val="24"/>
              </w:rPr>
              <w:t> 3. Определить поверхность тела.</w:t>
            </w:r>
          </w:p>
          <w:p>
            <w:pPr>
              <w:jc w:val="both"/>
              <w:spacing w:after="0" w:line="240" w:lineRule="auto"/>
              <w:rPr>
                <w:sz w:val="24"/>
                <w:szCs w:val="24"/>
              </w:rPr>
            </w:pPr>
            <w:r>
              <w:rPr>
                <w:rFonts w:ascii="Times New Roman" w:hAnsi="Times New Roman" w:cs="Times New Roman"/>
                <w:color w:val="#000000"/>
                <w:sz w:val="24"/>
                <w:szCs w:val="24"/>
              </w:rPr>
              <w:t> 4. Определить тип кровообращения и дать ему оценку.</w:t>
            </w:r>
          </w:p>
          <w:p>
            <w:pPr>
              <w:jc w:val="both"/>
              <w:spacing w:after="0" w:line="240" w:lineRule="auto"/>
              <w:rPr>
                <w:sz w:val="24"/>
                <w:szCs w:val="24"/>
              </w:rPr>
            </w:pPr>
            <w:r>
              <w:rPr>
                <w:rFonts w:ascii="Times New Roman" w:hAnsi="Times New Roman" w:cs="Times New Roman"/>
                <w:color w:val="#000000"/>
                <w:sz w:val="24"/>
                <w:szCs w:val="24"/>
              </w:rPr>
              <w:t> 5. Рассчитать метаболическую мощность физической нагрузки на пороге анаэробного обмена.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p>
        </w:tc>
      </w:tr>
      <w:tr>
        <w:trPr>
          <w:trHeight w:hRule="exact" w:val="1126.31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2023-2024_ФГОС3++2023_Бак-ОФО-ПО(ФК)(23)_plx_Спортивная медицина</dc:title>
  <dc:creator>FastReport.NET</dc:creator>
</cp:coreProperties>
</file>